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25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395"/>
        <w:gridCol w:w="2268"/>
        <w:gridCol w:w="2141"/>
        <w:gridCol w:w="1843"/>
      </w:tblGrid>
      <w:tr w:rsidR="0046570D" w:rsidRPr="00706E53" w:rsidTr="0046570D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46570D" w:rsidRPr="00706E53" w:rsidRDefault="0046570D" w:rsidP="004657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7CA9750E" wp14:editId="0BFC9CC4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46570D" w:rsidRPr="00706E53" w:rsidRDefault="0046570D" w:rsidP="0046570D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46570D" w:rsidRPr="00706E53" w:rsidRDefault="0046570D" w:rsidP="004657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46570D" w:rsidRDefault="0046570D" w:rsidP="0046570D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Enfeksiyon Kontrol Hemşiresi</w:t>
            </w:r>
          </w:p>
          <w:p w:rsidR="0046570D" w:rsidRPr="0046570D" w:rsidRDefault="0046570D" w:rsidP="0046570D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843" w:type="dxa"/>
            <w:vAlign w:val="center"/>
          </w:tcPr>
          <w:p w:rsidR="0046570D" w:rsidRPr="00706E53" w:rsidRDefault="0046570D" w:rsidP="0046570D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7516B649" wp14:editId="035BF95F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70D" w:rsidRPr="00706E53" w:rsidTr="009548F3">
        <w:trPr>
          <w:trHeight w:hRule="exact" w:val="584"/>
        </w:trPr>
        <w:tc>
          <w:tcPr>
            <w:tcW w:w="1985" w:type="dxa"/>
            <w:tcBorders>
              <w:right w:val="single" w:sz="12" w:space="0" w:color="auto"/>
            </w:tcBorders>
          </w:tcPr>
          <w:p w:rsidR="0046570D" w:rsidRPr="00706E53" w:rsidRDefault="0046570D" w:rsidP="009548F3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46570D" w:rsidRPr="00706E53" w:rsidRDefault="0046570D" w:rsidP="009548F3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K.KU.GT.09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</w:tcPr>
          <w:p w:rsidR="0046570D" w:rsidRPr="00706E53" w:rsidRDefault="0046570D" w:rsidP="009548F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46570D" w:rsidRPr="00706E53" w:rsidRDefault="0046570D" w:rsidP="009548F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570D" w:rsidRPr="00706E53" w:rsidRDefault="0046570D" w:rsidP="009548F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46570D" w:rsidRPr="00706E53" w:rsidRDefault="0046570D" w:rsidP="009548F3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:rsidR="0046570D" w:rsidRPr="00706E53" w:rsidRDefault="0046570D" w:rsidP="00954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46570D" w:rsidRPr="00706E53" w:rsidRDefault="0046570D" w:rsidP="00954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6570D" w:rsidRPr="00706E53" w:rsidRDefault="0046570D" w:rsidP="009548F3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46570D" w:rsidRPr="00706E53" w:rsidRDefault="0046570D" w:rsidP="009548F3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1F7262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3560BE" w:rsidP="009E4AA0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r w:rsidR="00136DA8">
              <w:rPr>
                <w:rFonts w:ascii="Times New Roman" w:hAnsi="Times New Roman" w:cs="Times New Roman"/>
                <w:sz w:val="24"/>
                <w:szCs w:val="24"/>
              </w:rPr>
              <w:t xml:space="preserve"> Kontrol</w:t>
            </w:r>
            <w:r w:rsidR="009E4AA0" w:rsidRPr="009E4AA0">
              <w:rPr>
                <w:rFonts w:ascii="Times New Roman" w:hAnsi="Times New Roman" w:cs="Times New Roman"/>
                <w:sz w:val="24"/>
                <w:szCs w:val="24"/>
              </w:rPr>
              <w:t xml:space="preserve"> Hemşiresi</w:t>
            </w:r>
          </w:p>
        </w:tc>
      </w:tr>
      <w:tr w:rsidR="00487C01" w:rsidTr="008942FC">
        <w:trPr>
          <w:trHeight w:val="70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4C0E79" w:rsidRPr="004A7E64" w:rsidRDefault="004C0E79" w:rsidP="004C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E64">
              <w:rPr>
                <w:rFonts w:ascii="Times New Roman" w:hAnsi="Times New Roman" w:cs="Times New Roman"/>
                <w:sz w:val="24"/>
                <w:szCs w:val="24"/>
              </w:rPr>
              <w:t xml:space="preserve">Dekan, Dekan Yardımcısı, Fakülte Sekreteri, Merkez Müdürü, </w:t>
            </w:r>
            <w:r w:rsidR="004A7E64" w:rsidRPr="004A7E64">
              <w:rPr>
                <w:rFonts w:ascii="Times New Roman" w:hAnsi="Times New Roman" w:cs="Times New Roman"/>
                <w:sz w:val="24"/>
                <w:szCs w:val="24"/>
              </w:rPr>
              <w:t>Hastane Müdürü,</w:t>
            </w:r>
          </w:p>
          <w:p w:rsidR="00AC5B28" w:rsidRPr="004A7E64" w:rsidRDefault="004C0E79" w:rsidP="004C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64">
              <w:rPr>
                <w:rFonts w:ascii="Times New Roman" w:hAnsi="Times New Roman" w:cs="Times New Roman"/>
                <w:sz w:val="24"/>
                <w:szCs w:val="24"/>
              </w:rPr>
              <w:t>Başhemşire</w:t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575B9F" w:rsidRDefault="00782E79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79">
              <w:rPr>
                <w:rFonts w:ascii="Times New Roman" w:hAnsi="Times New Roman" w:cs="Times New Roman"/>
                <w:sz w:val="24"/>
                <w:szCs w:val="24"/>
              </w:rPr>
              <w:t>Dekanlık tarafından görevlendirilen diğer personel</w:t>
            </w:r>
          </w:p>
        </w:tc>
      </w:tr>
      <w:tr w:rsidR="00487C01" w:rsidRPr="00F40E49" w:rsidTr="005B664C">
        <w:trPr>
          <w:trHeight w:val="288"/>
        </w:trPr>
        <w:tc>
          <w:tcPr>
            <w:tcW w:w="1985" w:type="dxa"/>
          </w:tcPr>
          <w:p w:rsidR="00487C01" w:rsidRPr="001B1765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1B1765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074648" w:rsidRPr="00074648" w:rsidRDefault="00074648" w:rsidP="0007464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074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87C01" w:rsidRPr="00F40E49" w:rsidRDefault="00074648" w:rsidP="00074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48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enfeksiyon kontrol </w:t>
            </w:r>
            <w:r w:rsidRPr="00074648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hizmetlerinin, etkinlik ve verimlilik ilkesi doğrultusunda,  tüm yasal düzenlemeler ve </w:t>
            </w:r>
            <w:r w:rsidRPr="00074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074648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074648">
              <w:rPr>
                <w:rFonts w:ascii="Times New Roman" w:eastAsia="Calibri" w:hAnsi="Times New Roman" w:cs="Times New Roman"/>
                <w:sz w:val="24"/>
                <w:szCs w:val="24"/>
              </w:rPr>
              <w:t>Kurumumuzun belirlediği politika, hedef, misyon ve vizyonuna uygun bir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şekilde yürütülmesini sağlamak ve denetlemek</w:t>
            </w:r>
          </w:p>
        </w:tc>
      </w:tr>
      <w:tr w:rsidR="00487C01" w:rsidTr="00332C21">
        <w:trPr>
          <w:trHeight w:val="157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3560BE" w:rsidRPr="00C60B6F" w:rsidRDefault="003560BE" w:rsidP="007F619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>Sağlık Hizmeti Süreçlerini enfeksiyon riski açısından değerlendirerek enfeksiyon kontrolüne</w:t>
            </w:r>
            <w:r w:rsidR="00C6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B6F">
              <w:rPr>
                <w:rFonts w:ascii="Times New Roman" w:hAnsi="Times New Roman" w:cs="Times New Roman"/>
                <w:sz w:val="24"/>
                <w:szCs w:val="24"/>
              </w:rPr>
              <w:t>ilişkin, politika, prosedür ve programların oluşturulması, geliştirilmesi ve uygulanmasını sağlar.</w:t>
            </w:r>
          </w:p>
          <w:p w:rsidR="003560BE" w:rsidRPr="00C60B6F" w:rsidRDefault="003560BE" w:rsidP="007F619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>Enfeksiyon kontrolü kural ve düzenlemelerine uyulması konusunda</w:t>
            </w:r>
            <w:r w:rsidR="00AC5B28">
              <w:rPr>
                <w:rFonts w:ascii="Times New Roman" w:hAnsi="Times New Roman" w:cs="Times New Roman"/>
                <w:sz w:val="24"/>
                <w:szCs w:val="24"/>
              </w:rPr>
              <w:t xml:space="preserve"> klinik</w:t>
            </w: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 xml:space="preserve"> sorumlu hemşireler</w:t>
            </w:r>
            <w:r w:rsidR="00AC5B28">
              <w:rPr>
                <w:rFonts w:ascii="Times New Roman" w:hAnsi="Times New Roman" w:cs="Times New Roman"/>
                <w:sz w:val="24"/>
                <w:szCs w:val="24"/>
              </w:rPr>
              <w:t>i i</w:t>
            </w: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>le işbirliği</w:t>
            </w:r>
            <w:r w:rsidR="00C6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B6F">
              <w:rPr>
                <w:rFonts w:ascii="Times New Roman" w:hAnsi="Times New Roman" w:cs="Times New Roman"/>
                <w:sz w:val="24"/>
                <w:szCs w:val="24"/>
              </w:rPr>
              <w:t>yapar, gerekli durumlarda izolasyon önlemlerinin alınmasını sağlar ve izler.</w:t>
            </w:r>
          </w:p>
          <w:p w:rsidR="00403C9E" w:rsidRDefault="003560BE" w:rsidP="00403C9E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9E">
              <w:rPr>
                <w:rFonts w:ascii="Times New Roman" w:hAnsi="Times New Roman" w:cs="Times New Roman"/>
                <w:sz w:val="24"/>
                <w:szCs w:val="24"/>
              </w:rPr>
              <w:t xml:space="preserve">Enfeksiyon kontrol önlemlerinin </w:t>
            </w:r>
            <w:r w:rsidR="00AC5B28" w:rsidRPr="00403C9E">
              <w:rPr>
                <w:rFonts w:ascii="Times New Roman" w:hAnsi="Times New Roman" w:cs="Times New Roman"/>
                <w:sz w:val="24"/>
                <w:szCs w:val="24"/>
              </w:rPr>
              <w:t>EKK</w:t>
            </w:r>
            <w:r w:rsidRPr="00403C9E">
              <w:rPr>
                <w:rFonts w:ascii="Times New Roman" w:hAnsi="Times New Roman" w:cs="Times New Roman"/>
                <w:sz w:val="24"/>
                <w:szCs w:val="24"/>
              </w:rPr>
              <w:t xml:space="preserve"> politikalarına uygun olarak yürütülüp yürütülmediğini</w:t>
            </w:r>
            <w:r w:rsidR="00C60B6F" w:rsidRPr="0040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9E">
              <w:rPr>
                <w:rFonts w:ascii="Times New Roman" w:hAnsi="Times New Roman" w:cs="Times New Roman"/>
                <w:sz w:val="24"/>
                <w:szCs w:val="24"/>
              </w:rPr>
              <w:t xml:space="preserve">denetleyerek, </w:t>
            </w:r>
            <w:r w:rsidR="00AC5B28" w:rsidRPr="00403C9E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r w:rsidRPr="00403C9E">
              <w:rPr>
                <w:rFonts w:ascii="Times New Roman" w:hAnsi="Times New Roman" w:cs="Times New Roman"/>
                <w:sz w:val="24"/>
                <w:szCs w:val="24"/>
              </w:rPr>
              <w:t xml:space="preserve"> çal</w:t>
            </w:r>
            <w:r w:rsidR="00403C9E">
              <w:rPr>
                <w:rFonts w:ascii="Times New Roman" w:hAnsi="Times New Roman" w:cs="Times New Roman"/>
                <w:sz w:val="24"/>
                <w:szCs w:val="24"/>
              </w:rPr>
              <w:t>ışanlarına enfeksiyon kontrolüne yönelik,</w:t>
            </w:r>
            <w:r w:rsidRPr="0040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C9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03C9E" w:rsidRPr="00403C9E">
              <w:rPr>
                <w:rFonts w:ascii="Times New Roman" w:hAnsi="Times New Roman" w:cs="Times New Roman"/>
                <w:sz w:val="24"/>
                <w:szCs w:val="24"/>
              </w:rPr>
              <w:t xml:space="preserve">emizlik, dezenfeksiyon, sterilizasyon, asepsi, antisepsi </w:t>
            </w:r>
            <w:r w:rsidR="00403C9E">
              <w:rPr>
                <w:rFonts w:ascii="Times New Roman" w:hAnsi="Times New Roman" w:cs="Times New Roman"/>
                <w:sz w:val="24"/>
                <w:szCs w:val="24"/>
              </w:rPr>
              <w:t>ilkelerine ilişkin</w:t>
            </w:r>
            <w:r w:rsidR="00403C9E" w:rsidRPr="0040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C9E">
              <w:rPr>
                <w:rFonts w:ascii="Times New Roman" w:hAnsi="Times New Roman" w:cs="Times New Roman"/>
                <w:sz w:val="24"/>
                <w:szCs w:val="24"/>
              </w:rPr>
              <w:t>bilgi verir, izler</w:t>
            </w:r>
            <w:r w:rsidR="00403C9E" w:rsidRPr="00403C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C9E" w:rsidRPr="00403C9E">
              <w:rPr>
                <w:rFonts w:ascii="Times New Roman" w:hAnsi="Times New Roman" w:cs="Times New Roman"/>
                <w:sz w:val="24"/>
                <w:szCs w:val="24"/>
              </w:rPr>
              <w:t>eksiklikleri saptar ve giderilmesi için çalışmalarda bulunur</w:t>
            </w:r>
            <w:r w:rsidR="0040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0BE" w:rsidRPr="00C60B6F" w:rsidRDefault="007F619F" w:rsidP="007F619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Merkezdeki</w:t>
            </w:r>
            <w:r w:rsidR="003560BE" w:rsidRPr="003560BE">
              <w:rPr>
                <w:rFonts w:ascii="Times New Roman" w:hAnsi="Times New Roman" w:cs="Times New Roman"/>
                <w:sz w:val="24"/>
                <w:szCs w:val="24"/>
              </w:rPr>
              <w:t xml:space="preserve"> enfeksiyon hızı artışını, belirli mikroorganizmalarla oluşan enfeksiyonlardaki artışı ve</w:t>
            </w:r>
            <w:r w:rsidR="00C6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BE" w:rsidRPr="00C60B6F">
              <w:rPr>
                <w:rFonts w:ascii="Times New Roman" w:hAnsi="Times New Roman" w:cs="Times New Roman"/>
                <w:sz w:val="24"/>
                <w:szCs w:val="24"/>
              </w:rPr>
              <w:t>olağan üstü durumlar (salgın, nadir görülen enfeksiyon gibi) olduğunda kaynağını, yayılım şeklini</w:t>
            </w:r>
            <w:r w:rsidR="00C6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BE" w:rsidRPr="00C60B6F">
              <w:rPr>
                <w:rFonts w:ascii="Times New Roman" w:hAnsi="Times New Roman" w:cs="Times New Roman"/>
                <w:sz w:val="24"/>
                <w:szCs w:val="24"/>
              </w:rPr>
              <w:t>araştırarak, sorunu çözmeye yönelik çalışmalar yapar. Bildirimi zorunlu olan hastalıkları gerekli</w:t>
            </w:r>
            <w:r w:rsidR="00C6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BE" w:rsidRPr="00C60B6F">
              <w:rPr>
                <w:rFonts w:ascii="Times New Roman" w:hAnsi="Times New Roman" w:cs="Times New Roman"/>
                <w:sz w:val="24"/>
                <w:szCs w:val="24"/>
              </w:rPr>
              <w:t>olan yerlere bildirir.</w:t>
            </w:r>
          </w:p>
          <w:p w:rsidR="003560BE" w:rsidRPr="00C60B6F" w:rsidRDefault="003560BE" w:rsidP="007F619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>Kurum politikaları doğrultusunda tüm çalışanlar arasında tarama yaparak enfeksiyon potansiyeli</w:t>
            </w:r>
            <w:r w:rsidR="00C6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B6F">
              <w:rPr>
                <w:rFonts w:ascii="Times New Roman" w:hAnsi="Times New Roman" w:cs="Times New Roman"/>
                <w:sz w:val="24"/>
                <w:szCs w:val="24"/>
              </w:rPr>
              <w:t>ve belirtisi olanları tespit eder. Çalışanların enfeksiyona maruz kaldığı durumlarda gerekli</w:t>
            </w:r>
            <w:r w:rsidR="00C6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B6F">
              <w:rPr>
                <w:rFonts w:ascii="Times New Roman" w:hAnsi="Times New Roman" w:cs="Times New Roman"/>
                <w:sz w:val="24"/>
                <w:szCs w:val="24"/>
              </w:rPr>
              <w:t>önlemlerin alınması</w:t>
            </w:r>
            <w:r w:rsidR="00044BE1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Pr="00C60B6F">
              <w:rPr>
                <w:rFonts w:ascii="Times New Roman" w:hAnsi="Times New Roman" w:cs="Times New Roman"/>
                <w:sz w:val="24"/>
                <w:szCs w:val="24"/>
              </w:rPr>
              <w:t xml:space="preserve"> sağlar.</w:t>
            </w:r>
          </w:p>
          <w:p w:rsidR="003560BE" w:rsidRPr="00C60B6F" w:rsidRDefault="003560BE" w:rsidP="007F619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>Çalışanların enfeksiyon kontrolüne ilişkin eğitim gereksinimlerine (el hijyeni, akılcı antibiyotik</w:t>
            </w:r>
            <w:r w:rsidR="00C6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B6F">
              <w:rPr>
                <w:rFonts w:ascii="Times New Roman" w:hAnsi="Times New Roman" w:cs="Times New Roman"/>
                <w:sz w:val="24"/>
                <w:szCs w:val="24"/>
              </w:rPr>
              <w:t>kullanımı vb.) önerilerde bulunur ve hizmet içi eğitim etkinliklerine katılır.</w:t>
            </w:r>
          </w:p>
          <w:p w:rsidR="003560BE" w:rsidRPr="00C60B6F" w:rsidRDefault="003560BE" w:rsidP="007F619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>Kurum politikaları doğrultusunda enfeksiyon kontrolüne ilişkin kayıtları tutar, düzenli olarak</w:t>
            </w:r>
            <w:r w:rsidR="00C6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B6F">
              <w:rPr>
                <w:rFonts w:ascii="Times New Roman" w:hAnsi="Times New Roman" w:cs="Times New Roman"/>
                <w:sz w:val="24"/>
                <w:szCs w:val="24"/>
              </w:rPr>
              <w:t xml:space="preserve">gözden geçirerek sonuçları </w:t>
            </w:r>
            <w:proofErr w:type="spellStart"/>
            <w:r w:rsidR="007F619F">
              <w:rPr>
                <w:rFonts w:ascii="Times New Roman" w:hAnsi="Times New Roman" w:cs="Times New Roman"/>
                <w:sz w:val="24"/>
                <w:szCs w:val="24"/>
              </w:rPr>
              <w:t>EKK’ya</w:t>
            </w:r>
            <w:proofErr w:type="spellEnd"/>
            <w:r w:rsidR="007F6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B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A7E64">
              <w:rPr>
                <w:rFonts w:ascii="Times New Roman" w:hAnsi="Times New Roman" w:cs="Times New Roman"/>
                <w:sz w:val="24"/>
                <w:szCs w:val="24"/>
              </w:rPr>
              <w:t>yönetime</w:t>
            </w:r>
            <w:r w:rsidRPr="00C60B6F">
              <w:rPr>
                <w:rFonts w:ascii="Times New Roman" w:hAnsi="Times New Roman" w:cs="Times New Roman"/>
                <w:sz w:val="24"/>
                <w:szCs w:val="24"/>
              </w:rPr>
              <w:t xml:space="preserve"> rapor eder.</w:t>
            </w:r>
          </w:p>
          <w:p w:rsidR="003560BE" w:rsidRPr="00C9025E" w:rsidRDefault="00CB38AD" w:rsidP="00C9025E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kullanılan</w:t>
            </w:r>
            <w:r w:rsidR="003560BE" w:rsidRPr="003560BE">
              <w:rPr>
                <w:rFonts w:ascii="Times New Roman" w:hAnsi="Times New Roman" w:cs="Times New Roman"/>
                <w:sz w:val="24"/>
                <w:szCs w:val="24"/>
              </w:rPr>
              <w:t xml:space="preserve"> dezenfektan ve antiseptiklerin seçiminde ve mikrobiyolojik yönden</w:t>
            </w:r>
            <w:r w:rsidR="007F6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BE" w:rsidRPr="007F619F">
              <w:rPr>
                <w:rFonts w:ascii="Times New Roman" w:hAnsi="Times New Roman" w:cs="Times New Roman"/>
                <w:sz w:val="24"/>
                <w:szCs w:val="24"/>
              </w:rPr>
              <w:t>araştırılmasında görev alarak, komite ile birlikte kullanım yerlerini belirler. Temizlik, antisepsi,</w:t>
            </w:r>
            <w:r w:rsidR="00C60B6F" w:rsidRPr="007F6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25E">
              <w:rPr>
                <w:rFonts w:ascii="Times New Roman" w:hAnsi="Times New Roman" w:cs="Times New Roman"/>
                <w:sz w:val="24"/>
                <w:szCs w:val="24"/>
              </w:rPr>
              <w:t>asepsi, dezenfeksiyon</w:t>
            </w:r>
            <w:r w:rsidR="003560BE" w:rsidRPr="00C9025E">
              <w:rPr>
                <w:rFonts w:ascii="Times New Roman" w:hAnsi="Times New Roman" w:cs="Times New Roman"/>
                <w:sz w:val="24"/>
                <w:szCs w:val="24"/>
              </w:rPr>
              <w:t xml:space="preserve"> sterilizasyon konularında standart oluşturma çalışmalarına katılır.</w:t>
            </w:r>
          </w:p>
          <w:p w:rsidR="003560BE" w:rsidRPr="00C60B6F" w:rsidRDefault="003560BE" w:rsidP="007F619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>Tesis kaynaklı çalışmalar, çamaşırhane, havalandırma sistemi, gıda güvenliği gibi süreçlerde</w:t>
            </w:r>
            <w:r w:rsidR="00C6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B6F">
              <w:rPr>
                <w:rFonts w:ascii="Times New Roman" w:hAnsi="Times New Roman" w:cs="Times New Roman"/>
                <w:sz w:val="24"/>
                <w:szCs w:val="24"/>
              </w:rPr>
              <w:t>enfeksiyonların önlenmesini sağlar.</w:t>
            </w:r>
          </w:p>
          <w:p w:rsidR="003560BE" w:rsidRPr="003560BE" w:rsidRDefault="003560BE" w:rsidP="007F619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>Atıkların toplanması, taşınması ve depolanması sürecini enfe</w:t>
            </w:r>
            <w:r w:rsidR="007F619F">
              <w:rPr>
                <w:rFonts w:ascii="Times New Roman" w:hAnsi="Times New Roman" w:cs="Times New Roman"/>
                <w:sz w:val="24"/>
                <w:szCs w:val="24"/>
              </w:rPr>
              <w:t>ksiyon kontrolü açısından izler ve denetler.</w:t>
            </w:r>
          </w:p>
          <w:p w:rsidR="003560BE" w:rsidRPr="003560BE" w:rsidRDefault="003560BE" w:rsidP="007F619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>Bölümlerinde tespit ettiği uygunsuzluklarla ilgili Düzeltici Önleyici Faaliyet (DÖF) başlatır.</w:t>
            </w:r>
          </w:p>
          <w:p w:rsidR="003560BE" w:rsidRPr="003560BE" w:rsidRDefault="003560BE" w:rsidP="007F619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 veya sorunu amirlerine bildirir.</w:t>
            </w:r>
          </w:p>
          <w:p w:rsidR="007F619F" w:rsidRPr="0083080E" w:rsidRDefault="007F619F" w:rsidP="007F619F">
            <w:pPr>
              <w:numPr>
                <w:ilvl w:val="0"/>
                <w:numId w:val="15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Görevini Sağlıkta Kalite Yönetim Sistemi politikası, hedefleri ve </w:t>
            </w:r>
            <w:proofErr w:type="gramStart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7F619F" w:rsidRPr="0083080E" w:rsidRDefault="007F619F" w:rsidP="007F619F">
            <w:pPr>
              <w:numPr>
                <w:ilvl w:val="0"/>
                <w:numId w:val="15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çalışmalarına ve gerektiğinde kurumda yürütülen kalite geliştirme ve iyileştirme faaliyetlerine katılır.</w:t>
            </w:r>
          </w:p>
          <w:p w:rsidR="007F619F" w:rsidRPr="0083080E" w:rsidRDefault="007F619F" w:rsidP="007F619F">
            <w:pPr>
              <w:numPr>
                <w:ilvl w:val="0"/>
                <w:numId w:val="15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Amirlerinin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vereceği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görevleri yapar. </w:t>
            </w:r>
          </w:p>
          <w:p w:rsidR="00D5468D" w:rsidRDefault="007F619F" w:rsidP="00D5468D">
            <w:pPr>
              <w:numPr>
                <w:ilvl w:val="0"/>
                <w:numId w:val="15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çerisinde kurum kimliğini takar.</w:t>
            </w:r>
          </w:p>
          <w:p w:rsidR="003560BE" w:rsidRPr="00C60B6F" w:rsidRDefault="007F619F" w:rsidP="00D5468D">
            <w:pPr>
              <w:numPr>
                <w:ilvl w:val="0"/>
                <w:numId w:val="15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prosedür</w:t>
            </w:r>
            <w:r w:rsidR="004C0E79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gramEnd"/>
            <w:r w:rsidR="004C0E79">
              <w:rPr>
                <w:rFonts w:ascii="Times New Roman" w:hAnsi="Times New Roman" w:cs="Times New Roman"/>
                <w:sz w:val="24"/>
                <w:szCs w:val="24"/>
              </w:rPr>
              <w:t xml:space="preserve"> ve yasal mevzuata uyar. G</w:t>
            </w: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erekli kişisel koruyucu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ekipmanları</w:t>
            </w:r>
            <w:proofErr w:type="gramEnd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 kullanarak çalışır.</w:t>
            </w:r>
          </w:p>
        </w:tc>
      </w:tr>
      <w:tr w:rsidR="00487C01" w:rsidTr="00BF3030">
        <w:trPr>
          <w:trHeight w:val="617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A94D89" w:rsidRDefault="00A94D89" w:rsidP="00A94D89">
            <w:pPr>
              <w:pStyle w:val="ListeParagraf"/>
              <w:numPr>
                <w:ilvl w:val="0"/>
                <w:numId w:val="2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26452B" w:rsidRPr="00C60B6F" w:rsidRDefault="00954722" w:rsidP="0026452B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gereçleri kullanabilmek.</w:t>
            </w:r>
          </w:p>
        </w:tc>
      </w:tr>
      <w:tr w:rsidR="00454260" w:rsidTr="00483F7F">
        <w:trPr>
          <w:trHeight w:val="344"/>
        </w:trPr>
        <w:tc>
          <w:tcPr>
            <w:tcW w:w="1985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954722" w:rsidRPr="00954722" w:rsidRDefault="00954722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657Sayılı Kanunu’nda belirtilen genel niteliklere sahip olmak.</w:t>
            </w:r>
          </w:p>
          <w:p w:rsidR="00954722" w:rsidRPr="00954722" w:rsidRDefault="00954722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ve becerisine sahip olmak.</w:t>
            </w:r>
          </w:p>
          <w:p w:rsidR="00954722" w:rsidRPr="00954722" w:rsidRDefault="00954722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 xml:space="preserve"> Faaliyetlerini en iyi şekilde sürdürebilmesi için gerekli karar verme ve sorun çözme niteliklerine</w:t>
            </w:r>
            <w:r w:rsidR="0057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722">
              <w:rPr>
                <w:rFonts w:ascii="Times New Roman" w:hAnsi="Times New Roman" w:cs="Times New Roman"/>
                <w:sz w:val="24"/>
                <w:szCs w:val="24"/>
              </w:rPr>
              <w:t>sahip olmak.</w:t>
            </w:r>
          </w:p>
          <w:p w:rsidR="00483F7F" w:rsidRPr="004A7E64" w:rsidRDefault="00954722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64">
              <w:rPr>
                <w:rFonts w:ascii="Times New Roman" w:hAnsi="Times New Roman" w:cs="Times New Roman"/>
                <w:sz w:val="24"/>
                <w:szCs w:val="24"/>
              </w:rPr>
              <w:t>Lisans mezunu olup, meslekte beş yıl deneyimli olmak</w:t>
            </w:r>
          </w:p>
          <w:p w:rsidR="00BF3030" w:rsidRPr="00742F8A" w:rsidRDefault="008942FC" w:rsidP="00573CE4">
            <w:pPr>
              <w:pStyle w:val="ListeParagraf"/>
              <w:numPr>
                <w:ilvl w:val="0"/>
                <w:numId w:val="2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64">
              <w:rPr>
                <w:rFonts w:ascii="Times New Roman" w:hAnsi="Times New Roman" w:cs="Times New Roman"/>
                <w:sz w:val="24"/>
                <w:szCs w:val="24"/>
              </w:rPr>
              <w:t>Hemşire olmak</w:t>
            </w:r>
            <w:r w:rsidR="004A7E64" w:rsidRPr="004A7E64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BF3030" w:rsidRPr="004A7E64">
              <w:rPr>
                <w:rFonts w:ascii="Times New Roman" w:hAnsi="Times New Roman" w:cs="Times New Roman"/>
                <w:sz w:val="24"/>
                <w:szCs w:val="24"/>
              </w:rPr>
              <w:t>ilgisayar bilgisi</w:t>
            </w:r>
            <w:r w:rsidRPr="004A7E64">
              <w:rPr>
                <w:rFonts w:ascii="Times New Roman" w:hAnsi="Times New Roman" w:cs="Times New Roman"/>
                <w:sz w:val="24"/>
                <w:szCs w:val="24"/>
              </w:rPr>
              <w:t xml:space="preserve"> olmak, Enfeksiyon Eğitim S</w:t>
            </w:r>
            <w:r w:rsidR="00BF3030" w:rsidRPr="004A7E64">
              <w:rPr>
                <w:rFonts w:ascii="Times New Roman" w:hAnsi="Times New Roman" w:cs="Times New Roman"/>
                <w:sz w:val="24"/>
                <w:szCs w:val="24"/>
              </w:rPr>
              <w:t>ertifikası</w:t>
            </w:r>
            <w:r w:rsidRPr="004A7E64">
              <w:rPr>
                <w:rFonts w:ascii="Times New Roman" w:hAnsi="Times New Roman" w:cs="Times New Roman"/>
                <w:sz w:val="24"/>
                <w:szCs w:val="24"/>
              </w:rPr>
              <w:t>na sahip olmak</w:t>
            </w:r>
          </w:p>
        </w:tc>
      </w:tr>
    </w:tbl>
    <w:p w:rsidR="007E16AA" w:rsidRDefault="007E16AA"/>
    <w:p w:rsidR="00541F6E" w:rsidRDefault="00541F6E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46570D" w:rsidRDefault="0046570D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  <w:bookmarkStart w:id="0" w:name="_GoBack"/>
      <w:bookmarkEnd w:id="0"/>
    </w:p>
    <w:p w:rsidR="0046570D" w:rsidRDefault="0046570D">
      <w:pPr>
        <w:rPr>
          <w:rFonts w:ascii="Times New Roman" w:hAnsi="Times New Roman" w:cs="Times New Roman"/>
        </w:rPr>
      </w:pPr>
    </w:p>
    <w:p w:rsidR="0046570D" w:rsidRDefault="0046570D">
      <w:pPr>
        <w:rPr>
          <w:rFonts w:ascii="Times New Roman" w:hAnsi="Times New Roman" w:cs="Times New Roman"/>
        </w:rPr>
      </w:pPr>
    </w:p>
    <w:p w:rsidR="0046570D" w:rsidRDefault="0046570D">
      <w:pPr>
        <w:rPr>
          <w:rFonts w:ascii="Times New Roman" w:hAnsi="Times New Roman" w:cs="Times New Roman"/>
        </w:rPr>
      </w:pPr>
    </w:p>
    <w:p w:rsidR="0046570D" w:rsidRDefault="0046570D">
      <w:pPr>
        <w:rPr>
          <w:rFonts w:ascii="Times New Roman" w:hAnsi="Times New Roman" w:cs="Times New Roman"/>
        </w:rPr>
      </w:pPr>
    </w:p>
    <w:p w:rsidR="0046570D" w:rsidRDefault="0046570D">
      <w:pPr>
        <w:rPr>
          <w:rFonts w:ascii="Times New Roman" w:hAnsi="Times New Roman" w:cs="Times New Roman"/>
        </w:rPr>
      </w:pPr>
    </w:p>
    <w:p w:rsidR="0046570D" w:rsidRDefault="0046570D">
      <w:pPr>
        <w:rPr>
          <w:rFonts w:ascii="Times New Roman" w:hAnsi="Times New Roman" w:cs="Times New Roman"/>
        </w:rPr>
      </w:pPr>
    </w:p>
    <w:p w:rsidR="0046570D" w:rsidRPr="00541F6E" w:rsidRDefault="0046570D">
      <w:pPr>
        <w:rPr>
          <w:rFonts w:ascii="Times New Roman" w:hAnsi="Times New Roman" w:cs="Times New Roman"/>
        </w:rPr>
      </w:pPr>
    </w:p>
    <w:p w:rsidR="00062E5B" w:rsidRDefault="00062E5B">
      <w:pPr>
        <w:rPr>
          <w:rFonts w:ascii="Times New Roman" w:hAnsi="Times New Roman" w:cs="Times New Roman"/>
        </w:rPr>
      </w:pPr>
    </w:p>
    <w:p w:rsidR="00197147" w:rsidRPr="007E312C" w:rsidRDefault="00197147">
      <w:pPr>
        <w:rPr>
          <w:rFonts w:ascii="Times New Roman" w:hAnsi="Times New Roman" w:cs="Times New Roman"/>
        </w:rPr>
      </w:pPr>
    </w:p>
    <w:sectPr w:rsidR="00197147" w:rsidRPr="007E31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99" w:rsidRDefault="005B5799" w:rsidP="00706E53">
      <w:pPr>
        <w:spacing w:after="0" w:line="240" w:lineRule="auto"/>
      </w:pPr>
      <w:r>
        <w:separator/>
      </w:r>
    </w:p>
  </w:endnote>
  <w:endnote w:type="continuationSeparator" w:id="0">
    <w:p w:rsidR="005B5799" w:rsidRDefault="005B5799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99" w:rsidRDefault="005B5799" w:rsidP="00706E53">
      <w:pPr>
        <w:spacing w:after="0" w:line="240" w:lineRule="auto"/>
      </w:pPr>
      <w:r>
        <w:separator/>
      </w:r>
    </w:p>
  </w:footnote>
  <w:footnote w:type="continuationSeparator" w:id="0">
    <w:p w:rsidR="005B5799" w:rsidRDefault="005B5799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718"/>
    <w:multiLevelType w:val="hybridMultilevel"/>
    <w:tmpl w:val="C7C42B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27475ED"/>
    <w:multiLevelType w:val="hybridMultilevel"/>
    <w:tmpl w:val="B9F6B1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D08BE"/>
    <w:multiLevelType w:val="hybridMultilevel"/>
    <w:tmpl w:val="35DA35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676C"/>
    <w:multiLevelType w:val="hybridMultilevel"/>
    <w:tmpl w:val="E63E5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646A"/>
    <w:multiLevelType w:val="hybridMultilevel"/>
    <w:tmpl w:val="FD680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D49E7"/>
    <w:multiLevelType w:val="hybridMultilevel"/>
    <w:tmpl w:val="E760DA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B081E"/>
    <w:multiLevelType w:val="hybridMultilevel"/>
    <w:tmpl w:val="3B2A3E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A4FFD"/>
    <w:multiLevelType w:val="hybridMultilevel"/>
    <w:tmpl w:val="A9CA5A50"/>
    <w:lvl w:ilvl="0" w:tplc="0A584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F10C4"/>
    <w:multiLevelType w:val="hybridMultilevel"/>
    <w:tmpl w:val="A574EB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04000"/>
    <w:multiLevelType w:val="hybridMultilevel"/>
    <w:tmpl w:val="D804A4EA"/>
    <w:lvl w:ilvl="0" w:tplc="43CAF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B0B7A"/>
    <w:multiLevelType w:val="hybridMultilevel"/>
    <w:tmpl w:val="F0E4EB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95EC2"/>
    <w:multiLevelType w:val="hybridMultilevel"/>
    <w:tmpl w:val="2BE08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147EB"/>
    <w:multiLevelType w:val="hybridMultilevel"/>
    <w:tmpl w:val="99305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F4274"/>
    <w:multiLevelType w:val="hybridMultilevel"/>
    <w:tmpl w:val="8716C9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E166B"/>
    <w:multiLevelType w:val="hybridMultilevel"/>
    <w:tmpl w:val="707CD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74DA1"/>
    <w:multiLevelType w:val="hybridMultilevel"/>
    <w:tmpl w:val="E53A96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17"/>
  </w:num>
  <w:num w:numId="6">
    <w:abstractNumId w:val="15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18"/>
  </w:num>
  <w:num w:numId="12">
    <w:abstractNumId w:val="20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5"/>
  </w:num>
  <w:num w:numId="18">
    <w:abstractNumId w:val="19"/>
  </w:num>
  <w:num w:numId="19">
    <w:abstractNumId w:val="2"/>
  </w:num>
  <w:num w:numId="20">
    <w:abstractNumId w:val="21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30D60"/>
    <w:rsid w:val="00044BE1"/>
    <w:rsid w:val="00062E5B"/>
    <w:rsid w:val="00074648"/>
    <w:rsid w:val="00102777"/>
    <w:rsid w:val="001163FF"/>
    <w:rsid w:val="00136DA8"/>
    <w:rsid w:val="0014005C"/>
    <w:rsid w:val="001828C6"/>
    <w:rsid w:val="00194F5F"/>
    <w:rsid w:val="00197147"/>
    <w:rsid w:val="001B1765"/>
    <w:rsid w:val="001F386B"/>
    <w:rsid w:val="001F7262"/>
    <w:rsid w:val="0026452B"/>
    <w:rsid w:val="00274838"/>
    <w:rsid w:val="00275083"/>
    <w:rsid w:val="002D34F6"/>
    <w:rsid w:val="002E03CE"/>
    <w:rsid w:val="003235D1"/>
    <w:rsid w:val="00332C21"/>
    <w:rsid w:val="00340CC4"/>
    <w:rsid w:val="003560BE"/>
    <w:rsid w:val="003720E7"/>
    <w:rsid w:val="003A3862"/>
    <w:rsid w:val="003C3A82"/>
    <w:rsid w:val="00403C9E"/>
    <w:rsid w:val="004209DE"/>
    <w:rsid w:val="00425759"/>
    <w:rsid w:val="00433B89"/>
    <w:rsid w:val="00454260"/>
    <w:rsid w:val="0046570D"/>
    <w:rsid w:val="00483F7F"/>
    <w:rsid w:val="0048788F"/>
    <w:rsid w:val="00487C01"/>
    <w:rsid w:val="004A7E64"/>
    <w:rsid w:val="004B4BE1"/>
    <w:rsid w:val="004C0E79"/>
    <w:rsid w:val="004E76BE"/>
    <w:rsid w:val="005115B7"/>
    <w:rsid w:val="005233D8"/>
    <w:rsid w:val="0053754D"/>
    <w:rsid w:val="00541F6E"/>
    <w:rsid w:val="00541FD2"/>
    <w:rsid w:val="005576FE"/>
    <w:rsid w:val="00573CE4"/>
    <w:rsid w:val="00575B9F"/>
    <w:rsid w:val="00596E35"/>
    <w:rsid w:val="005B5799"/>
    <w:rsid w:val="005B664C"/>
    <w:rsid w:val="005D4826"/>
    <w:rsid w:val="005E1D4D"/>
    <w:rsid w:val="00642E00"/>
    <w:rsid w:val="006E1342"/>
    <w:rsid w:val="006F048A"/>
    <w:rsid w:val="00706E53"/>
    <w:rsid w:val="00715597"/>
    <w:rsid w:val="00742F8A"/>
    <w:rsid w:val="00782E79"/>
    <w:rsid w:val="007A55CA"/>
    <w:rsid w:val="007B50CE"/>
    <w:rsid w:val="007C4BEF"/>
    <w:rsid w:val="007E16AA"/>
    <w:rsid w:val="007E312C"/>
    <w:rsid w:val="007F619F"/>
    <w:rsid w:val="007F6EC9"/>
    <w:rsid w:val="00857189"/>
    <w:rsid w:val="008942FC"/>
    <w:rsid w:val="008A3BAF"/>
    <w:rsid w:val="008C07BF"/>
    <w:rsid w:val="008F259B"/>
    <w:rsid w:val="00902379"/>
    <w:rsid w:val="0093409E"/>
    <w:rsid w:val="00941665"/>
    <w:rsid w:val="00954722"/>
    <w:rsid w:val="009548F3"/>
    <w:rsid w:val="009A03F6"/>
    <w:rsid w:val="009A7A90"/>
    <w:rsid w:val="009E4AA0"/>
    <w:rsid w:val="00A211C5"/>
    <w:rsid w:val="00A74138"/>
    <w:rsid w:val="00A87A14"/>
    <w:rsid w:val="00A94D89"/>
    <w:rsid w:val="00AC5B28"/>
    <w:rsid w:val="00B409F9"/>
    <w:rsid w:val="00B74A20"/>
    <w:rsid w:val="00B77E99"/>
    <w:rsid w:val="00B8542F"/>
    <w:rsid w:val="00BB6914"/>
    <w:rsid w:val="00BC7EB6"/>
    <w:rsid w:val="00BF3030"/>
    <w:rsid w:val="00C24B2F"/>
    <w:rsid w:val="00C471AD"/>
    <w:rsid w:val="00C54892"/>
    <w:rsid w:val="00C60B6F"/>
    <w:rsid w:val="00C6778F"/>
    <w:rsid w:val="00C8709B"/>
    <w:rsid w:val="00C9025E"/>
    <w:rsid w:val="00C92773"/>
    <w:rsid w:val="00CB38AD"/>
    <w:rsid w:val="00CB641E"/>
    <w:rsid w:val="00D5468D"/>
    <w:rsid w:val="00D73E9F"/>
    <w:rsid w:val="00D776D7"/>
    <w:rsid w:val="00DA7BC8"/>
    <w:rsid w:val="00DD02D8"/>
    <w:rsid w:val="00E274C1"/>
    <w:rsid w:val="00E619C0"/>
    <w:rsid w:val="00EB3E6F"/>
    <w:rsid w:val="00EB3F91"/>
    <w:rsid w:val="00ED05DE"/>
    <w:rsid w:val="00F14BB7"/>
    <w:rsid w:val="00F16DBC"/>
    <w:rsid w:val="00F3164A"/>
    <w:rsid w:val="00F40E49"/>
    <w:rsid w:val="00F64A87"/>
    <w:rsid w:val="00F734BC"/>
    <w:rsid w:val="00F94F39"/>
    <w:rsid w:val="00F95EB8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CD1B3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2025-03-11T12:25:00Z</cp:lastPrinted>
  <dcterms:created xsi:type="dcterms:W3CDTF">2025-03-21T10:17:00Z</dcterms:created>
  <dcterms:modified xsi:type="dcterms:W3CDTF">2025-03-21T10:17:00Z</dcterms:modified>
</cp:coreProperties>
</file>