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6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2268"/>
        <w:gridCol w:w="2268"/>
        <w:gridCol w:w="2339"/>
        <w:gridCol w:w="1843"/>
      </w:tblGrid>
      <w:tr w:rsidR="000D36D7" w:rsidRPr="00706E53" w:rsidTr="000D36D7">
        <w:trPr>
          <w:trHeight w:val="1388"/>
        </w:trPr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7156A4D" wp14:editId="4B9BDC12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gridSpan w:val="3"/>
            <w:tcBorders>
              <w:left w:val="single" w:sz="12" w:space="0" w:color="auto"/>
            </w:tcBorders>
            <w:vAlign w:val="center"/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0D36D7" w:rsidRDefault="000D36D7" w:rsidP="000D36D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Sterilizasyon Personeli</w:t>
            </w:r>
          </w:p>
          <w:p w:rsidR="000D36D7" w:rsidRPr="000D36D7" w:rsidRDefault="000D36D7" w:rsidP="000D36D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5567F0C" wp14:editId="5254C766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6D7" w:rsidRPr="00706E53" w:rsidTr="000D36D7">
        <w:trPr>
          <w:trHeight w:hRule="exact" w:val="441"/>
        </w:trPr>
        <w:tc>
          <w:tcPr>
            <w:tcW w:w="1914" w:type="dxa"/>
            <w:tcBorders>
              <w:right w:val="single" w:sz="12" w:space="0" w:color="auto"/>
            </w:tcBorders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0D36D7" w:rsidRPr="00706E53" w:rsidRDefault="00505DBC" w:rsidP="000D36D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K.KU.GT.24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0D36D7" w:rsidRPr="00706E53" w:rsidRDefault="000D36D7" w:rsidP="000D36D7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F21D0D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4E2FA0" w:rsidP="00971630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Sterilizasyon </w:t>
            </w:r>
            <w:r w:rsidR="00971630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054C39" w:rsidRPr="00BF284F" w:rsidRDefault="00054C39" w:rsidP="0005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>Dekan, Dekan Yardımcısı,</w:t>
            </w:r>
            <w:r w:rsidR="00BF284F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Merkez Müdürü, </w:t>
            </w: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</w:t>
            </w:r>
            <w:r w:rsidR="00BF284F" w:rsidRPr="00BF284F">
              <w:rPr>
                <w:rFonts w:ascii="Times New Roman" w:hAnsi="Times New Roman" w:cs="Times New Roman"/>
                <w:sz w:val="24"/>
                <w:szCs w:val="24"/>
              </w:rPr>
              <w:t>Hastane Müdürü,</w:t>
            </w:r>
          </w:p>
          <w:p w:rsidR="00487C01" w:rsidRPr="005E1D4D" w:rsidRDefault="00054C39" w:rsidP="00054C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575B9F" w:rsidRDefault="00782E79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1B1765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95450C" w:rsidRPr="0095450C" w:rsidRDefault="0095450C" w:rsidP="0095450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95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F40E49" w:rsidRDefault="0095450C" w:rsidP="0095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0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sterilizasyon hizmetleri faaliyetlerinin</w:t>
            </w:r>
            <w:r w:rsidRPr="0095450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95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95450C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95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95450C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954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487C01" w:rsidTr="00332C21">
        <w:trPr>
          <w:trHeight w:val="157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587E32" w:rsidRDefault="00587E32" w:rsidP="00587E32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2">
              <w:rPr>
                <w:rFonts w:ascii="Times New Roman" w:hAnsi="Times New Roman" w:cs="Times New Roman"/>
                <w:sz w:val="24"/>
                <w:szCs w:val="24"/>
              </w:rPr>
              <w:t>Çalışma alanlarının (tezgâhların, yeşil örtü raflar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 vb.) düzenini sağlar.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Hastane genelinde kullanılan aletlerin, ömrünü uzatacak şekilde temizliğini ve bakımlarını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 xml:space="preserve">gerçekleştirir ve </w:t>
            </w:r>
            <w:proofErr w:type="gramStart"/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971630">
              <w:rPr>
                <w:rFonts w:ascii="Times New Roman" w:hAnsi="Times New Roman" w:cs="Times New Roman"/>
                <w:sz w:val="24"/>
                <w:szCs w:val="24"/>
              </w:rPr>
              <w:t xml:space="preserve"> edilmelerini sağlar.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Merkezi Sterilizasyon Ünitesi hizmetlerinin kalitesinin sürekli geliştirilmesine katkı sağlar.</w:t>
            </w:r>
          </w:p>
          <w:p w:rsidR="00971630" w:rsidRPr="00935E4F" w:rsidRDefault="00971630" w:rsidP="00935E4F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Merkezi Sterilizasyon Ünitesine hastane genelinden iletilen aletlerin karşılıklı sayımını ve hasar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r w:rsidR="00D850FC">
              <w:rPr>
                <w:rFonts w:ascii="Times New Roman" w:hAnsi="Times New Roman" w:cs="Times New Roman"/>
                <w:sz w:val="24"/>
                <w:szCs w:val="24"/>
              </w:rPr>
              <w:t>trolünü yapar, otomasyona kayd</w:t>
            </w:r>
            <w:r w:rsidRPr="00935E4F">
              <w:rPr>
                <w:rFonts w:ascii="Times New Roman" w:hAnsi="Times New Roman" w:cs="Times New Roman"/>
                <w:sz w:val="24"/>
                <w:szCs w:val="24"/>
              </w:rPr>
              <w:t>ederek teslim alır, teslim eder.</w:t>
            </w:r>
          </w:p>
          <w:p w:rsidR="00971630" w:rsidRDefault="00971630" w:rsidP="00F85BA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Gönderilen aletler arasında eksiklik veya bozukluk olması halinde,</w:t>
            </w:r>
            <w:r w:rsidR="00F85BAA" w:rsidRPr="00F85BAA">
              <w:rPr>
                <w:rFonts w:ascii="Times New Roman" w:hAnsi="Times New Roman" w:cs="Times New Roman"/>
                <w:sz w:val="24"/>
                <w:szCs w:val="24"/>
              </w:rPr>
              <w:t xml:space="preserve"> malzemeyi teslim eden personele </w:t>
            </w:r>
            <w:r w:rsidR="00F85BA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85BAA">
              <w:rPr>
                <w:rFonts w:ascii="Times New Roman" w:hAnsi="Times New Roman" w:cs="Times New Roman"/>
                <w:sz w:val="24"/>
                <w:szCs w:val="24"/>
              </w:rPr>
              <w:t xml:space="preserve"> sorumlu hemşireye bilgi verir.</w:t>
            </w:r>
          </w:p>
          <w:p w:rsidR="00F85BAA" w:rsidRDefault="00F85BAA" w:rsidP="00F85BA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32">
              <w:rPr>
                <w:rFonts w:ascii="Times New Roman" w:hAnsi="Times New Roman" w:cs="Times New Roman"/>
                <w:sz w:val="24"/>
                <w:szCs w:val="24"/>
              </w:rPr>
              <w:t xml:space="preserve">Acil olarak bildirilen ve kabul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edilen malzemeye MSÜ sorumlu hemşiresinin bilgisi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öncelik verir.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Merkezi Sterilizasyon Ünitesine teslim aldığı kirli aletler ve malzemelerin standartlar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doğrultusunda yıkanıp kurulanmasını sağlar.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Teslim aldığı kirli</w:t>
            </w:r>
            <w:r w:rsidR="00BB75CB">
              <w:rPr>
                <w:rFonts w:ascii="Times New Roman" w:hAnsi="Times New Roman" w:cs="Times New Roman"/>
                <w:sz w:val="24"/>
                <w:szCs w:val="24"/>
              </w:rPr>
              <w:t xml:space="preserve"> aletleri</w:t>
            </w:r>
            <w:r w:rsidR="00112EF0">
              <w:rPr>
                <w:rFonts w:ascii="Times New Roman" w:hAnsi="Times New Roman" w:cs="Times New Roman"/>
                <w:sz w:val="24"/>
                <w:szCs w:val="24"/>
              </w:rPr>
              <w:t xml:space="preserve"> uygun program kullana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rak yıkama makinesinde yıkar, kurutur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sterilizasyona hazır hale getirilmesini sağlar.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Kirli alana teslim alınan hassas aletlerin ultrasonik yıkama makinesinde temizlenmesini sağlar.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Steril olacak alet set ve malzemelerin bakımını, kontrolünü ve paketlenmesini sağlar.</w:t>
            </w:r>
          </w:p>
          <w:p w:rsidR="00971630" w:rsidRDefault="008273DB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DB">
              <w:rPr>
                <w:rFonts w:ascii="Times New Roman" w:hAnsi="Times New Roman" w:cs="Times New Roman"/>
                <w:sz w:val="24"/>
                <w:szCs w:val="24"/>
              </w:rPr>
              <w:t>Sterilizatörleri çalıştırır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630" w:rsidRPr="00971630">
              <w:rPr>
                <w:rFonts w:ascii="Times New Roman" w:hAnsi="Times New Roman" w:cs="Times New Roman"/>
                <w:sz w:val="24"/>
                <w:szCs w:val="24"/>
              </w:rPr>
              <w:t>Alet, set ve malzemelere uygun sterilizasyon yöntemini kullanır ve kullanılmasını sağlar.</w:t>
            </w:r>
          </w:p>
          <w:p w:rsidR="008273DB" w:rsidRPr="00971630" w:rsidRDefault="008273DB" w:rsidP="008273DB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Sterilizatörler için standartlara uygun testleri uygula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S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 xml:space="preserve">onuçlarını </w:t>
            </w:r>
            <w:proofErr w:type="spellStart"/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dökümante</w:t>
            </w:r>
            <w:proofErr w:type="spellEnd"/>
            <w:r w:rsidRPr="00971630">
              <w:rPr>
                <w:rFonts w:ascii="Times New Roman" w:hAnsi="Times New Roman" w:cs="Times New Roman"/>
                <w:sz w:val="24"/>
                <w:szCs w:val="24"/>
              </w:rPr>
              <w:t xml:space="preserve"> eder,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uygunsuzlukları sorumlusuna bildirir.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Steril edilmek üzere teslim alınan malzemelerin paketlenmeden önce temizliğini ve kuruluğunu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kontrol eder, sterilizasyon yöntemine göre paket seçer, paketleme işlemini yapar.</w:t>
            </w:r>
          </w:p>
          <w:p w:rsidR="00AB4569" w:rsidRPr="00BF1543" w:rsidRDefault="00AB4569" w:rsidP="00DC23B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569">
              <w:rPr>
                <w:rFonts w:ascii="Times New Roman" w:hAnsi="Times New Roman" w:cs="Times New Roman"/>
                <w:sz w:val="24"/>
                <w:szCs w:val="24"/>
              </w:rPr>
              <w:t xml:space="preserve">Sterilizasyon içinde bulunan </w:t>
            </w:r>
            <w:proofErr w:type="gramStart"/>
            <w:r w:rsidRPr="00AB4569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AB4569">
              <w:rPr>
                <w:rFonts w:ascii="Times New Roman" w:hAnsi="Times New Roman" w:cs="Times New Roman"/>
                <w:sz w:val="24"/>
                <w:szCs w:val="24"/>
              </w:rPr>
              <w:t xml:space="preserve"> alet, alet seti ve malzemele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 raf ömürlerini kontrol eder ve envanter sayımını yapar. </w:t>
            </w:r>
          </w:p>
          <w:p w:rsidR="00971630" w:rsidRPr="00BF284F" w:rsidRDefault="00AB4569" w:rsidP="00DC23BA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üm </w:t>
            </w:r>
            <w:proofErr w:type="gramStart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edilecek paketleri barkodlar. Asla </w:t>
            </w:r>
            <w:proofErr w:type="spellStart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>barkotsuz</w:t>
            </w:r>
            <w:proofErr w:type="spellEnd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malzemeyi </w:t>
            </w:r>
            <w:proofErr w:type="spellStart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>sterilizatöre</w:t>
            </w:r>
            <w:proofErr w:type="spellEnd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yüklemez. </w:t>
            </w:r>
            <w:proofErr w:type="spellStart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>Barkodsuz</w:t>
            </w:r>
            <w:proofErr w:type="spellEnd"/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hiçbir malzemeyi teslim</w:t>
            </w:r>
            <w:r w:rsidR="00DC23BA"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630" w:rsidRPr="00BF284F">
              <w:rPr>
                <w:rFonts w:ascii="Times New Roman" w:hAnsi="Times New Roman" w:cs="Times New Roman"/>
                <w:sz w:val="24"/>
                <w:szCs w:val="24"/>
              </w:rPr>
              <w:t>etmez.</w:t>
            </w:r>
          </w:p>
          <w:p w:rsidR="00BF1543" w:rsidRPr="00AB4569" w:rsidRDefault="00BF1543" w:rsidP="00BF1543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Kirli tekstil malzemelerini (yeşil vb.) dezenfeksiyon, paketleme ve sterilizasyon işlemlerini yapar. </w:t>
            </w:r>
            <w:r w:rsidRPr="00BF1543">
              <w:rPr>
                <w:rFonts w:ascii="Times New Roman" w:hAnsi="Times New Roman" w:cs="Times New Roman"/>
                <w:sz w:val="24"/>
                <w:szCs w:val="24"/>
              </w:rPr>
              <w:t>Temiz tekstil malzemel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erini ilgili raflara yerleştirir.</w:t>
            </w:r>
          </w:p>
          <w:p w:rsidR="002E7C3C" w:rsidRPr="00BF284F" w:rsidRDefault="002E7C3C" w:rsidP="00BF284F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F">
              <w:rPr>
                <w:rFonts w:ascii="Times New Roman" w:hAnsi="Times New Roman" w:cs="Times New Roman"/>
                <w:sz w:val="24"/>
                <w:szCs w:val="24"/>
              </w:rPr>
              <w:t>Cihazları</w:t>
            </w:r>
            <w:r w:rsidR="00BB7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4EF">
              <w:rPr>
                <w:rFonts w:ascii="Times New Roman" w:hAnsi="Times New Roman" w:cs="Times New Roman"/>
                <w:sz w:val="24"/>
                <w:szCs w:val="24"/>
              </w:rPr>
              <w:t xml:space="preserve"> cihaz</w:t>
            </w:r>
            <w:r w:rsidR="00BB75CB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3534EF">
              <w:rPr>
                <w:rFonts w:ascii="Times New Roman" w:hAnsi="Times New Roman" w:cs="Times New Roman"/>
                <w:sz w:val="24"/>
                <w:szCs w:val="24"/>
              </w:rPr>
              <w:t xml:space="preserve"> üretici firma </w:t>
            </w:r>
            <w:r w:rsidR="00BB75CB">
              <w:rPr>
                <w:rFonts w:ascii="Times New Roman" w:hAnsi="Times New Roman" w:cs="Times New Roman"/>
                <w:sz w:val="24"/>
                <w:szCs w:val="24"/>
              </w:rPr>
              <w:t>talimatlarına uygun bir şekilde</w:t>
            </w:r>
            <w:r w:rsidR="00BF2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>kullanır</w:t>
            </w:r>
            <w:r w:rsidR="009406A4" w:rsidRPr="00BF2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569" w:rsidRPr="008273DB" w:rsidRDefault="00AB4569" w:rsidP="00AB4569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DB">
              <w:rPr>
                <w:rFonts w:ascii="Times New Roman" w:hAnsi="Times New Roman" w:cs="Times New Roman"/>
                <w:sz w:val="24"/>
                <w:szCs w:val="24"/>
              </w:rPr>
              <w:t>MSÜ de bulunan cihazların temizliğini, bakımlarını ve kayıtlarının tutulmasını sağlar.</w:t>
            </w:r>
          </w:p>
          <w:p w:rsidR="00AB4569" w:rsidRPr="00BF284F" w:rsidRDefault="00AB4569" w:rsidP="00AB4569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Merkezi Sterilizasyon Ünitesi dışında bakıma veya tamire gönderilecek aletlerle ilgili sorumlu hemşireye bilgi verir, listesini günceller, gerekirse takibini yapar.</w:t>
            </w:r>
          </w:p>
          <w:p w:rsidR="00AB4569" w:rsidRPr="00BF284F" w:rsidRDefault="00AB4569" w:rsidP="00AB4569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>Merkezi Sterilizasyon Ünitesi dışında bakıma veya tamire gönderilen ve set içinde alternatifi olmayan aletlerin yedeğini sorumlu hemşire ile birlikte sete yerleştirir.</w:t>
            </w:r>
          </w:p>
          <w:p w:rsidR="009406A4" w:rsidRPr="00971630" w:rsidRDefault="009406A4" w:rsidP="009406A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F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arızalandığını tespit ettiği cihazların onarımının sağlanması amacıyla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E32">
              <w:rPr>
                <w:rFonts w:ascii="Times New Roman" w:hAnsi="Times New Roman" w:cs="Times New Roman"/>
                <w:sz w:val="24"/>
                <w:szCs w:val="24"/>
              </w:rPr>
              <w:t>bilgi verir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E32">
              <w:rPr>
                <w:rFonts w:ascii="Times New Roman" w:hAnsi="Times New Roman" w:cs="Times New Roman"/>
                <w:sz w:val="24"/>
                <w:szCs w:val="24"/>
              </w:rPr>
              <w:t xml:space="preserve"> Arıza giderilene kadar ilgili cihazla hiçbir sterilizasyon işlemi yapmaz. </w:t>
            </w: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 xml:space="preserve">Arızalı </w:t>
            </w:r>
            <w:proofErr w:type="gramStart"/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971630">
              <w:rPr>
                <w:rFonts w:ascii="Times New Roman" w:hAnsi="Times New Roman" w:cs="Times New Roman"/>
                <w:sz w:val="24"/>
                <w:szCs w:val="24"/>
              </w:rPr>
              <w:t xml:space="preserve"> üzerine arızalı olduğunu bildiren yazı veya afiş yerleştirir.</w:t>
            </w:r>
          </w:p>
          <w:p w:rsidR="002E7C3C" w:rsidRDefault="002E7C3C" w:rsidP="009406A4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F">
              <w:rPr>
                <w:rFonts w:ascii="Times New Roman" w:hAnsi="Times New Roman" w:cs="Times New Roman"/>
                <w:sz w:val="24"/>
                <w:szCs w:val="24"/>
              </w:rPr>
              <w:t xml:space="preserve"> Sterilizasyonda bulunan tüm test </w:t>
            </w:r>
            <w:r w:rsidRPr="009406A4">
              <w:rPr>
                <w:rFonts w:ascii="Times New Roman" w:hAnsi="Times New Roman" w:cs="Times New Roman"/>
                <w:sz w:val="24"/>
                <w:szCs w:val="24"/>
              </w:rPr>
              <w:t xml:space="preserve">materyallerini, dezenfektan ve temizlik malzemelerini, </w:t>
            </w:r>
            <w:proofErr w:type="gramStart"/>
            <w:r w:rsidRPr="009406A4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9406A4">
              <w:rPr>
                <w:rFonts w:ascii="Times New Roman" w:hAnsi="Times New Roman" w:cs="Times New Roman"/>
                <w:sz w:val="24"/>
                <w:szCs w:val="24"/>
              </w:rPr>
              <w:t xml:space="preserve"> ürün üretici firma talimatlarına göre kullanır.</w:t>
            </w:r>
          </w:p>
          <w:p w:rsidR="00AB4569" w:rsidRPr="002E7C3C" w:rsidRDefault="00AB4569" w:rsidP="00AB4569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Klinikte bulunan tıbbi, evsel, delici - kesici atıkların ayrıştırılarak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toplanması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 </w:t>
            </w:r>
            <w:r w:rsidRPr="00FB38EB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proofErr w:type="gramEnd"/>
            <w:r w:rsidRPr="00FB38EB">
              <w:rPr>
                <w:rFonts w:ascii="Times New Roman" w:hAnsi="Times New Roman" w:cs="Times New Roman"/>
                <w:sz w:val="24"/>
                <w:szCs w:val="24"/>
              </w:rPr>
              <w:t xml:space="preserve"> belirlediği yere belirlenmiş zamanlarda teslim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 sağlar.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Merkezi sterilizasyon sorumlu hemşiresinin tanımlamış olduğu görevleri eksiksiz tamamlar.</w:t>
            </w:r>
          </w:p>
          <w:p w:rsidR="00971630" w:rsidRPr="00971630" w:rsidRDefault="00971630" w:rsidP="00971630">
            <w:pPr>
              <w:pStyle w:val="ListeParagraf"/>
              <w:numPr>
                <w:ilvl w:val="1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30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FB38EB" w:rsidRPr="0083080E" w:rsidRDefault="00FB38EB" w:rsidP="00FB38EB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FB38EB" w:rsidRPr="0083080E" w:rsidRDefault="00FB38EB" w:rsidP="00FB38EB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FB38EB" w:rsidRPr="0083080E" w:rsidRDefault="00FB38EB" w:rsidP="00FB38EB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FB38EB" w:rsidRDefault="00FB38EB" w:rsidP="00FB38EB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954722" w:rsidRPr="00971630" w:rsidRDefault="00D35688" w:rsidP="00FB38EB">
            <w:pPr>
              <w:numPr>
                <w:ilvl w:val="0"/>
                <w:numId w:val="21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 yasal mevzuata uyar. Gerekli kişisel koruyucu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ekipmanları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9406A4">
        <w:trPr>
          <w:trHeight w:val="73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0932B0" w:rsidRDefault="000932B0" w:rsidP="000932B0">
            <w:pPr>
              <w:pStyle w:val="ListeParagraf"/>
              <w:numPr>
                <w:ilvl w:val="0"/>
                <w:numId w:val="2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892392" w:rsidRPr="00892392" w:rsidRDefault="00954722" w:rsidP="009406A4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657Sayılı Kanunu’nda belirtilen genel niteliklere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ve becerisine sahip olmak.</w:t>
            </w:r>
          </w:p>
          <w:p w:rsidR="00483F7F" w:rsidRPr="00C455C2" w:rsidRDefault="00954722" w:rsidP="00C455C2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Faaliyetlerini en iyi şekilde sürdürebilmesi için gerekli karar verme ve sorun çözme niteliklerine</w:t>
            </w:r>
            <w:r w:rsidR="0057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7E16AA" w:rsidP="005F16FD">
      <w:bookmarkStart w:id="0" w:name="_GoBack"/>
      <w:bookmarkEnd w:id="0"/>
    </w:p>
    <w:sectPr w:rsidR="007E16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8D" w:rsidRDefault="009A008D" w:rsidP="00706E53">
      <w:pPr>
        <w:spacing w:after="0" w:line="240" w:lineRule="auto"/>
      </w:pPr>
      <w:r>
        <w:separator/>
      </w:r>
    </w:p>
  </w:endnote>
  <w:endnote w:type="continuationSeparator" w:id="0">
    <w:p w:rsidR="009A008D" w:rsidRDefault="009A008D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8D" w:rsidRDefault="009A008D" w:rsidP="00706E53">
      <w:pPr>
        <w:spacing w:after="0" w:line="240" w:lineRule="auto"/>
      </w:pPr>
      <w:r>
        <w:separator/>
      </w:r>
    </w:p>
  </w:footnote>
  <w:footnote w:type="continuationSeparator" w:id="0">
    <w:p w:rsidR="009A008D" w:rsidRDefault="009A008D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718"/>
    <w:multiLevelType w:val="hybridMultilevel"/>
    <w:tmpl w:val="C7C42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7475ED"/>
    <w:multiLevelType w:val="hybridMultilevel"/>
    <w:tmpl w:val="B9F6B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81E"/>
    <w:multiLevelType w:val="hybridMultilevel"/>
    <w:tmpl w:val="3B2A3E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10C4"/>
    <w:multiLevelType w:val="hybridMultilevel"/>
    <w:tmpl w:val="A574EB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0B7A"/>
    <w:multiLevelType w:val="hybridMultilevel"/>
    <w:tmpl w:val="F0E4E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47EB"/>
    <w:multiLevelType w:val="hybridMultilevel"/>
    <w:tmpl w:val="99305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F4274"/>
    <w:multiLevelType w:val="hybridMultilevel"/>
    <w:tmpl w:val="C3BA4E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AE56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E166B"/>
    <w:multiLevelType w:val="hybridMultilevel"/>
    <w:tmpl w:val="707CD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7"/>
  </w:num>
  <w:num w:numId="6">
    <w:abstractNumId w:val="1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8"/>
  </w:num>
  <w:num w:numId="12">
    <w:abstractNumId w:val="20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5"/>
  </w:num>
  <w:num w:numId="18">
    <w:abstractNumId w:val="19"/>
  </w:num>
  <w:num w:numId="19">
    <w:abstractNumId w:val="2"/>
  </w:num>
  <w:num w:numId="20">
    <w:abstractNumId w:val="2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54C39"/>
    <w:rsid w:val="00062E5B"/>
    <w:rsid w:val="000932B0"/>
    <w:rsid w:val="000D36D7"/>
    <w:rsid w:val="00102777"/>
    <w:rsid w:val="00112EF0"/>
    <w:rsid w:val="0014005C"/>
    <w:rsid w:val="00150B78"/>
    <w:rsid w:val="00194F5F"/>
    <w:rsid w:val="001B0BE1"/>
    <w:rsid w:val="001B1765"/>
    <w:rsid w:val="001F386B"/>
    <w:rsid w:val="0026452B"/>
    <w:rsid w:val="00275083"/>
    <w:rsid w:val="0028004E"/>
    <w:rsid w:val="002E7C3C"/>
    <w:rsid w:val="003235D1"/>
    <w:rsid w:val="00332C21"/>
    <w:rsid w:val="003534EF"/>
    <w:rsid w:val="003649F4"/>
    <w:rsid w:val="003720E7"/>
    <w:rsid w:val="003A3862"/>
    <w:rsid w:val="003C3A82"/>
    <w:rsid w:val="00425759"/>
    <w:rsid w:val="00433B89"/>
    <w:rsid w:val="00454260"/>
    <w:rsid w:val="004833A0"/>
    <w:rsid w:val="00483F7F"/>
    <w:rsid w:val="00487C01"/>
    <w:rsid w:val="004B4BE1"/>
    <w:rsid w:val="004D7BBC"/>
    <w:rsid w:val="004E2FA0"/>
    <w:rsid w:val="004E76BE"/>
    <w:rsid w:val="005000BF"/>
    <w:rsid w:val="00505DBC"/>
    <w:rsid w:val="005115B7"/>
    <w:rsid w:val="005233D8"/>
    <w:rsid w:val="00533162"/>
    <w:rsid w:val="0053754D"/>
    <w:rsid w:val="00541F6E"/>
    <w:rsid w:val="00541FD2"/>
    <w:rsid w:val="0054225A"/>
    <w:rsid w:val="00573CE4"/>
    <w:rsid w:val="00575B9F"/>
    <w:rsid w:val="00587E32"/>
    <w:rsid w:val="00596E35"/>
    <w:rsid w:val="005B664C"/>
    <w:rsid w:val="005E1D4D"/>
    <w:rsid w:val="005F16FD"/>
    <w:rsid w:val="00615D1F"/>
    <w:rsid w:val="00642E00"/>
    <w:rsid w:val="006E1342"/>
    <w:rsid w:val="00706E53"/>
    <w:rsid w:val="00715597"/>
    <w:rsid w:val="00742F8A"/>
    <w:rsid w:val="00782E79"/>
    <w:rsid w:val="007A2A30"/>
    <w:rsid w:val="007C4BEF"/>
    <w:rsid w:val="007E16AA"/>
    <w:rsid w:val="007E312C"/>
    <w:rsid w:val="007F6EC9"/>
    <w:rsid w:val="008273DB"/>
    <w:rsid w:val="00847F0B"/>
    <w:rsid w:val="00892392"/>
    <w:rsid w:val="008A3BAF"/>
    <w:rsid w:val="008A4237"/>
    <w:rsid w:val="008C07BF"/>
    <w:rsid w:val="008D3C99"/>
    <w:rsid w:val="008F259B"/>
    <w:rsid w:val="00902379"/>
    <w:rsid w:val="00935E4F"/>
    <w:rsid w:val="009406A4"/>
    <w:rsid w:val="00941665"/>
    <w:rsid w:val="0095450C"/>
    <w:rsid w:val="00954722"/>
    <w:rsid w:val="00971630"/>
    <w:rsid w:val="009A008D"/>
    <w:rsid w:val="009A7A90"/>
    <w:rsid w:val="009E4AA0"/>
    <w:rsid w:val="009E6E0E"/>
    <w:rsid w:val="00A211C5"/>
    <w:rsid w:val="00A74138"/>
    <w:rsid w:val="00A811C8"/>
    <w:rsid w:val="00AB4569"/>
    <w:rsid w:val="00B00F86"/>
    <w:rsid w:val="00B26C9B"/>
    <w:rsid w:val="00B402AF"/>
    <w:rsid w:val="00B409F9"/>
    <w:rsid w:val="00B74A20"/>
    <w:rsid w:val="00B77E99"/>
    <w:rsid w:val="00B8542F"/>
    <w:rsid w:val="00BB6914"/>
    <w:rsid w:val="00BB75CB"/>
    <w:rsid w:val="00BC7EB6"/>
    <w:rsid w:val="00BF1543"/>
    <w:rsid w:val="00BF284F"/>
    <w:rsid w:val="00C022B9"/>
    <w:rsid w:val="00C13915"/>
    <w:rsid w:val="00C24B2F"/>
    <w:rsid w:val="00C26604"/>
    <w:rsid w:val="00C455C2"/>
    <w:rsid w:val="00C471AD"/>
    <w:rsid w:val="00C71802"/>
    <w:rsid w:val="00C8709B"/>
    <w:rsid w:val="00C92773"/>
    <w:rsid w:val="00CB641E"/>
    <w:rsid w:val="00D35688"/>
    <w:rsid w:val="00D36E78"/>
    <w:rsid w:val="00D56B37"/>
    <w:rsid w:val="00D73E9F"/>
    <w:rsid w:val="00D75990"/>
    <w:rsid w:val="00D776D7"/>
    <w:rsid w:val="00D850FC"/>
    <w:rsid w:val="00DB22F9"/>
    <w:rsid w:val="00DC23BA"/>
    <w:rsid w:val="00DD03A2"/>
    <w:rsid w:val="00DD66AF"/>
    <w:rsid w:val="00E274C1"/>
    <w:rsid w:val="00E575C2"/>
    <w:rsid w:val="00E60BF3"/>
    <w:rsid w:val="00E619C0"/>
    <w:rsid w:val="00EB3E6F"/>
    <w:rsid w:val="00EB3F91"/>
    <w:rsid w:val="00ED05DE"/>
    <w:rsid w:val="00EE5C40"/>
    <w:rsid w:val="00F14BB7"/>
    <w:rsid w:val="00F16DBC"/>
    <w:rsid w:val="00F21D0D"/>
    <w:rsid w:val="00F40E49"/>
    <w:rsid w:val="00F64A87"/>
    <w:rsid w:val="00F73313"/>
    <w:rsid w:val="00F734BC"/>
    <w:rsid w:val="00F847FE"/>
    <w:rsid w:val="00F85BAA"/>
    <w:rsid w:val="00F94F39"/>
    <w:rsid w:val="00F95EB8"/>
    <w:rsid w:val="00FB38E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DE587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2025-03-21T10:37:00Z</dcterms:created>
  <dcterms:modified xsi:type="dcterms:W3CDTF">2025-03-21T10:37:00Z</dcterms:modified>
</cp:coreProperties>
</file>